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Cash Flow &amp; Financial Control System</w:t>
      </w:r>
    </w:p>
    <w:p>
      <w:r>
        <w:t>CCR-05  |  Business Startup &amp; Operations  |  Executive implementation toolkit  |  October 2026</w:t>
      </w:r>
    </w:p>
    <w:p>
      <w:pPr>
        <w:pStyle w:val="Heading1"/>
      </w:pPr>
      <w:r>
        <w:t>Executive briefing</w:t>
      </w:r>
    </w:p>
    <w:p>
      <w:r>
        <w:t>Profitable businesses can still fail when collections, payroll, tax obligations, and supplier payments are not timed and controlled.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Build a rolling 13-week cash forecast using opening cash, expected receipts, and dated disbursements.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Separate confirmed cash receipts from optimistic sales forecasts and track receivables aging.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Identify payroll, taxes, insurance, debt service, rent, and critical supplier commitments.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Set approval thresholds for purchases and segregation of duties where staffing permits.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Reconcile bank activity regularly; investigate unusual transactions and forecast variances.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Review downside scenarios and establish action triggers before cash falls below minimum reserves.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 contractor invoices $40,000 but expects payment in 45 days while payroll is due weekly.</w:t>
      </w:r>
    </w:p>
    <w:p>
      <w:pPr>
        <w:pStyle w:val="Heading2"/>
      </w:pPr>
      <w:r>
        <w:t>Immediate response</w:t>
      </w:r>
    </w:p>
    <w:p>
      <w:r>
        <w:t>Model the actual collection date; avoid treating invoiced revenue as available cash.</w:t>
      </w:r>
    </w:p>
    <w:p>
      <w:pPr>
        <w:pStyle w:val="Heading2"/>
      </w:pPr>
      <w:r>
        <w:t>Durable control and evidence</w:t>
      </w:r>
    </w:p>
    <w:p>
      <w:r>
        <w:t>Revise purchasing and collections plans using the lowest projected weekly cash balance.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Week / opening cash</w:t>
            </w:r>
          </w:p>
        </w:tc>
        <w:tc>
          <w:tcPr>
            <w:tcW w:type="dxa" w:w="1958"/>
          </w:tcPr>
          <w:p>
            <w:r>
              <w:t>Expected collections</w:t>
            </w:r>
          </w:p>
        </w:tc>
        <w:tc>
          <w:tcPr>
            <w:tcW w:type="dxa" w:w="1958"/>
          </w:tcPr>
          <w:p>
            <w:r>
              <w:t>Committed outflows</w:t>
            </w:r>
          </w:p>
        </w:tc>
        <w:tc>
          <w:tcPr>
            <w:tcW w:type="dxa" w:w="1958"/>
          </w:tcPr>
          <w:p>
            <w:r>
              <w:t>Ending cash forecast</w:t>
            </w:r>
          </w:p>
        </w:tc>
        <w:tc>
          <w:tcPr>
            <w:tcW w:type="dxa" w:w="1958"/>
          </w:tcPr>
          <w:p>
            <w:r>
              <w:t>Owner / variance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What is the lowest cash balance in the next 13 weeks?</w:t>
      </w:r>
    </w:p>
    <w:p>
      <w:pPr>
        <w:pStyle w:val="ListBullet"/>
      </w:pPr>
      <w:r>
        <w:t>Which receipts are not contractually committed?</w:t>
      </w:r>
    </w:p>
    <w:p>
      <w:pPr>
        <w:pStyle w:val="ListBullet"/>
      </w:pPr>
      <w:r>
        <w:t>Who approves exceptions and verifies reconciliations?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General management guidance; consult a qualified accountant for tax and financial reporting obligations. Applicability and precise requirements must be confirmed for the operation and jurisdiction. Source portal: https://www.sba.gov/business-guide/manage-your-business/manage-your-finances. Check current federal, state, and local requirements before relying on this material.</w:t>
      </w:r>
    </w:p>
    <w:p>
      <w:r>
        <w:t>Document ID CCR-05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CCR-05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