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Emergency Response Readiness &amp; Drill Program</w:t>
      </w:r>
    </w:p>
    <w:p>
      <w:r>
        <w:t>CCR-09  |  Emergency Preparedness  |  Executive implementation toolkit  |  October 2026</w:t>
      </w:r>
    </w:p>
    <w:p>
      <w:pPr>
        <w:pStyle w:val="Heading1"/>
      </w:pPr>
      <w:r>
        <w:t>Executive briefing</w:t>
      </w:r>
    </w:p>
    <w:p>
      <w:r>
        <w:t>Emergency readiness requires assigned roles, usable communications, reliable evacuation routes, and drills that expose practical gaps.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Identify credible site emergencies, people at risk, external responders, and facility-specific constraints.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Define alarm methods, evacuation routes, assembly points, accountability, and employee assistance needs.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Assign evacuation, shutdown, first-aid, and spill roles only to appropriately trained and equipped people.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Post and periodically verify contact details and procedures across shifts and contractors.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Plan tabletop and practical drills proportionate to site risk without creating hazards.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Document drill observations, corrective actions, ownership, and follow-up verification.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small office discovers the designated assembly area is blocked by construction.</w:t>
      </w:r>
    </w:p>
    <w:p>
      <w:pPr>
        <w:pStyle w:val="Heading2"/>
      </w:pPr>
      <w:r>
        <w:t>Immediate response</w:t>
      </w:r>
    </w:p>
    <w:p>
      <w:r>
        <w:t>Choose and communicate a safe alternative and verify it with employees before a drill.</w:t>
      </w:r>
    </w:p>
    <w:p>
      <w:pPr>
        <w:pStyle w:val="Heading2"/>
      </w:pPr>
      <w:r>
        <w:t>Durable control and evidence</w:t>
      </w:r>
    </w:p>
    <w:p>
      <w:r>
        <w:t>Update maps, brief contractors, and retest accountability.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Scenario / location</w:t>
            </w:r>
          </w:p>
        </w:tc>
        <w:tc>
          <w:tcPr>
            <w:tcW w:type="dxa" w:w="1958"/>
          </w:tcPr>
          <w:p>
            <w:r>
              <w:t>Alarm / first action</w:t>
            </w:r>
          </w:p>
        </w:tc>
        <w:tc>
          <w:tcPr>
            <w:tcW w:type="dxa" w:w="1958"/>
          </w:tcPr>
          <w:p>
            <w:r>
              <w:t>Evacuation / accountability</w:t>
            </w:r>
          </w:p>
        </w:tc>
        <w:tc>
          <w:tcPr>
            <w:tcW w:type="dxa" w:w="1958"/>
          </w:tcPr>
          <w:p>
            <w:r>
              <w:t>Responsible lead</w:t>
            </w:r>
          </w:p>
        </w:tc>
        <w:tc>
          <w:tcPr>
            <w:tcW w:type="dxa" w:w="1958"/>
          </w:tcPr>
          <w:p>
            <w:r>
              <w:t>Drill result / action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How are visitors and contractors accounted for?</w:t>
      </w:r>
    </w:p>
    <w:p>
      <w:pPr>
        <w:pStyle w:val="ListBullet"/>
      </w:pPr>
      <w:r>
        <w:t>What happens if primary communication fails?</w:t>
      </w:r>
    </w:p>
    <w:p>
      <w:pPr>
        <w:pStyle w:val="ListBullet"/>
      </w:pPr>
      <w:r>
        <w:t>Who may perform critical shutdowns safely?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29 CFR 1910.38; 29 CFR 1910.39 where applicable. Applicability and precise requirements must be confirmed for the operation and jurisdiction. Source portal: https://www.osha.gov/emergency-preparedness. Check current federal, state, and local requirements before relying on this material.</w:t>
      </w:r>
    </w:p>
    <w:p>
      <w:r>
        <w:t>Document ID CCR-09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CCR-09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